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BC" w:rsidRPr="00542EBC" w:rsidRDefault="00542EBC" w:rsidP="00542EB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542EB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Statuta Grada Raba („Službene novine PGŽ“ br. 4/21),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gradonačelnik Grada Raba dana 25</w:t>
      </w:r>
      <w:r w:rsidRPr="00542EB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542EBC" w:rsidRPr="00542EBC" w:rsidRDefault="00542EBC" w:rsidP="00542E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542EBC" w:rsidRPr="00542EBC" w:rsidRDefault="00542EBC" w:rsidP="00542E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542EBC" w:rsidRPr="00542EBC" w:rsidRDefault="00542EBC" w:rsidP="00542E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542EBC" w:rsidRPr="00542EBC" w:rsidRDefault="00542EBC" w:rsidP="00542E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2EBC" w:rsidRPr="00542EBC" w:rsidRDefault="00542EBC" w:rsidP="00542E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42EBC">
        <w:rPr>
          <w:rFonts w:ascii="Times New Roman" w:hAnsi="Times New Roman" w:cs="Times New Roman"/>
          <w:sz w:val="24"/>
          <w:szCs w:val="24"/>
        </w:rPr>
        <w:t>Donosi se Program potpora poljoprivredi na području Grada Raba za 2026. godinu.</w:t>
      </w:r>
    </w:p>
    <w:p w:rsidR="00542EBC" w:rsidRPr="00542EBC" w:rsidRDefault="00542EBC" w:rsidP="00542E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42EBC">
        <w:rPr>
          <w:rFonts w:ascii="Times New Roman" w:hAnsi="Times New Roman" w:cs="Times New Roman"/>
          <w:sz w:val="24"/>
          <w:szCs w:val="24"/>
        </w:rPr>
        <w:t>Program potpora poljoprivredi na području Grada Raba za 2026. godinu iz prethodne točke objaviti će se na oglasnoj ploči i službenim stranicama Grada Raba te i u drugim sredstvima javnog oglašavanja.</w:t>
      </w:r>
    </w:p>
    <w:p w:rsidR="00542EBC" w:rsidRDefault="00542EBC" w:rsidP="00542E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42EBC">
        <w:rPr>
          <w:rFonts w:ascii="Times New Roman" w:hAnsi="Times New Roman" w:cs="Times New Roman"/>
          <w:sz w:val="24"/>
          <w:szCs w:val="24"/>
        </w:rPr>
        <w:t>Zaključak se dostavlja Upravnom odjelu ureda Grada investicija i razvoja na provedbu.</w:t>
      </w:r>
    </w:p>
    <w:p w:rsidR="00542EBC" w:rsidRDefault="00542EBC" w:rsidP="00542EBC">
      <w:pPr>
        <w:rPr>
          <w:rFonts w:ascii="Times New Roman" w:hAnsi="Times New Roman" w:cs="Times New Roman"/>
          <w:sz w:val="24"/>
          <w:szCs w:val="24"/>
        </w:rPr>
      </w:pPr>
    </w:p>
    <w:p w:rsidR="00542EBC" w:rsidRPr="00542EBC" w:rsidRDefault="00542EBC" w:rsidP="00542EBC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2EBC" w:rsidRPr="00542EBC" w:rsidRDefault="00542EBC" w:rsidP="00542E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542EBC" w:rsidRPr="00542EBC" w:rsidRDefault="00542EBC" w:rsidP="00542E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42EBC" w:rsidRPr="00542EBC" w:rsidRDefault="00542EBC" w:rsidP="00542E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542EBC" w:rsidRPr="00542EBC" w:rsidRDefault="00542EBC" w:rsidP="00542E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542EBC" w:rsidRPr="00542EBC" w:rsidRDefault="00542EBC" w:rsidP="00542E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42EBC" w:rsidRPr="00542EBC" w:rsidRDefault="00542EBC" w:rsidP="00542E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42EBC" w:rsidRPr="00542EBC" w:rsidRDefault="00542EBC" w:rsidP="00542E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023-01/26-01/31</w:t>
      </w:r>
    </w:p>
    <w:p w:rsidR="00542EBC" w:rsidRPr="00542EBC" w:rsidRDefault="00542EBC" w:rsidP="00542E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2170-13/01-26-1</w:t>
      </w:r>
    </w:p>
    <w:p w:rsidR="00542EBC" w:rsidRPr="00542EBC" w:rsidRDefault="00542EBC" w:rsidP="00542E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25</w:t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542EBC" w:rsidRDefault="00542EBC" w:rsidP="00542EBC">
      <w:pPr>
        <w:rPr>
          <w:rFonts w:ascii="Times New Roman" w:hAnsi="Times New Roman" w:cs="Times New Roman"/>
          <w:sz w:val="24"/>
          <w:szCs w:val="24"/>
        </w:rPr>
      </w:pPr>
    </w:p>
    <w:p w:rsidR="00542EBC" w:rsidRDefault="00542EBC" w:rsidP="00542EBC">
      <w:pPr>
        <w:rPr>
          <w:rFonts w:ascii="Times New Roman" w:hAnsi="Times New Roman" w:cs="Times New Roman"/>
          <w:sz w:val="24"/>
          <w:szCs w:val="24"/>
        </w:rPr>
      </w:pPr>
    </w:p>
    <w:p w:rsidR="00542EBC" w:rsidRDefault="00542EBC" w:rsidP="00542EBC">
      <w:pPr>
        <w:rPr>
          <w:rFonts w:ascii="Times New Roman" w:hAnsi="Times New Roman" w:cs="Times New Roman"/>
          <w:sz w:val="24"/>
          <w:szCs w:val="24"/>
        </w:rPr>
      </w:pPr>
    </w:p>
    <w:p w:rsidR="00542EBC" w:rsidRDefault="00542EBC" w:rsidP="00542EBC">
      <w:pPr>
        <w:rPr>
          <w:rFonts w:ascii="Times New Roman" w:hAnsi="Times New Roman" w:cs="Times New Roman"/>
          <w:sz w:val="24"/>
          <w:szCs w:val="24"/>
        </w:rPr>
      </w:pPr>
    </w:p>
    <w:p w:rsidR="00542EBC" w:rsidRDefault="00542EBC" w:rsidP="00542EBC">
      <w:pPr>
        <w:rPr>
          <w:rFonts w:ascii="Times New Roman" w:hAnsi="Times New Roman" w:cs="Times New Roman"/>
          <w:sz w:val="24"/>
          <w:szCs w:val="24"/>
        </w:rPr>
      </w:pPr>
    </w:p>
    <w:p w:rsidR="00542EBC" w:rsidRDefault="00542EBC" w:rsidP="00542EBC">
      <w:pPr>
        <w:rPr>
          <w:rFonts w:ascii="Times New Roman" w:hAnsi="Times New Roman" w:cs="Times New Roman"/>
          <w:sz w:val="24"/>
          <w:szCs w:val="24"/>
        </w:rPr>
      </w:pPr>
    </w:p>
    <w:p w:rsidR="00542EBC" w:rsidRDefault="00542EBC" w:rsidP="00542EBC">
      <w:pPr>
        <w:rPr>
          <w:rFonts w:ascii="Times New Roman" w:hAnsi="Times New Roman" w:cs="Times New Roman"/>
          <w:sz w:val="24"/>
          <w:szCs w:val="24"/>
        </w:rPr>
      </w:pPr>
    </w:p>
    <w:p w:rsidR="00542EBC" w:rsidRDefault="00542EBC" w:rsidP="00542EBC">
      <w:pPr>
        <w:rPr>
          <w:rFonts w:ascii="Times New Roman" w:hAnsi="Times New Roman" w:cs="Times New Roman"/>
          <w:sz w:val="24"/>
          <w:szCs w:val="24"/>
        </w:rPr>
      </w:pPr>
    </w:p>
    <w:p w:rsidR="00542EBC" w:rsidRDefault="00542EBC" w:rsidP="00542EBC">
      <w:pPr>
        <w:rPr>
          <w:rFonts w:ascii="Times New Roman" w:hAnsi="Times New Roman" w:cs="Times New Roman"/>
          <w:sz w:val="24"/>
          <w:szCs w:val="24"/>
        </w:rPr>
      </w:pPr>
    </w:p>
    <w:p w:rsidR="00542EBC" w:rsidRDefault="00542EBC" w:rsidP="00542EBC">
      <w:pPr>
        <w:rPr>
          <w:rFonts w:ascii="Times New Roman" w:hAnsi="Times New Roman" w:cs="Times New Roman"/>
          <w:sz w:val="24"/>
          <w:szCs w:val="24"/>
        </w:rPr>
      </w:pPr>
    </w:p>
    <w:p w:rsidR="00542EBC" w:rsidRDefault="00542EBC" w:rsidP="00542EBC">
      <w:pPr>
        <w:rPr>
          <w:rFonts w:ascii="Times New Roman" w:hAnsi="Times New Roman" w:cs="Times New Roman"/>
          <w:sz w:val="24"/>
          <w:szCs w:val="24"/>
        </w:rPr>
      </w:pPr>
    </w:p>
    <w:p w:rsidR="00542EBC" w:rsidRDefault="00542EBC" w:rsidP="00542EBC">
      <w:pPr>
        <w:rPr>
          <w:rFonts w:ascii="Times New Roman" w:hAnsi="Times New Roman" w:cs="Times New Roman"/>
          <w:sz w:val="24"/>
          <w:szCs w:val="24"/>
        </w:rPr>
      </w:pPr>
    </w:p>
    <w:p w:rsidR="00542EBC" w:rsidRDefault="00542EBC" w:rsidP="00542EBC">
      <w:pPr>
        <w:rPr>
          <w:rFonts w:ascii="Times New Roman" w:hAnsi="Times New Roman" w:cs="Times New Roman"/>
          <w:sz w:val="24"/>
          <w:szCs w:val="24"/>
        </w:rPr>
      </w:pPr>
    </w:p>
    <w:p w:rsidR="00542EBC" w:rsidRDefault="00542EBC" w:rsidP="00542EBC">
      <w:pPr>
        <w:rPr>
          <w:rFonts w:ascii="Times New Roman" w:hAnsi="Times New Roman" w:cs="Times New Roman"/>
          <w:sz w:val="24"/>
          <w:szCs w:val="24"/>
        </w:rPr>
      </w:pPr>
    </w:p>
    <w:p w:rsidR="00542EBC" w:rsidRPr="00542EBC" w:rsidRDefault="00542EBC" w:rsidP="00542EBC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 temelju članaka 36. Zakona o poljoprivredi („Narodne novine“, broj 118/18, 42/20, 127/20, 52/21 i 152/22), članka 48. Zakona o lokalnoj i područnoj (regionalnoj) samoupravi („Narodne novine“, broj 33/01, 60/01, 129/05, 109/07, 125/08, 36/09, 150/11, 144/12, 19/13, 137/15, 123/17, 98/19 i 144/20), članka 34. Statuta Grada Raba </w:t>
      </w:r>
      <w:r w:rsidRPr="00542EB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(„Službene novine Primorsko – goranske županije“ broj 4/21) gradonačelnik Grada Raba je dana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25. veljače 2026. </w:t>
      </w:r>
      <w:r w:rsidRPr="00542EB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donio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 potpora poljoprivredi na području Grada Raba za 2026. godinu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I. UVOD</w:t>
      </w: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(1) Ovim Programom utvrđuju se aktivnosti u poljoprivredi za koje će Grad Rab u 2026. godini dodjeljivati potpore male vrijednosti te kriteriji i postupak dodjele istih.</w:t>
      </w:r>
    </w:p>
    <w:p w:rsidR="00542EBC" w:rsidRPr="00542EBC" w:rsidRDefault="00542EBC" w:rsidP="00542E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(2) Potpore podrazumijevaju dodjelu bespovratnih novčanih sredstava iz Proračuna Grada Raba.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(1) Sredstva utvrđena u članku 1. stavak 2. ovog programa koristiti će se za isplatu potpora vezanih uz poljoprivrednu proizvodnju obiteljskim poljoprivrednim gospodarstvima (OPG) koja su upisana u Upisnik poljoprivrednih gospodarstava, pravnim i fizičkim osobama registriranima za obavljanje poljoprivredne djelatnosti sa sjedištem odnosno prebivalištem i poljoprivrednom proizvodnjom na području Grada Raba (poljoprivredno zemljište, gospodarski objekti, trajni nasadi i slično), a koja zadovoljavaju kriterije propisane za pojedine aktivnosti utvrđene ovim Programom, te poljoprivrednim udrugama i zadrugama.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(2) Pravo na subvenciju poljoprivredna gospodarstva i drugi korisnici ostvaruju temeljem vlastitog zahtjeva. Podnošenje zahtjeva traje do iskorištenja sredstava osiguranih u Proračunu Grada Raba za 2026. godinu za navedenu namjenu, a najdulje do 2. prosinca 2026. godine.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Potpore male vrijednosti dodjeljuju se sukladno pravilima EU o pružanju državne potpore poljoprivredi i ruralnom razvoju propisanim Uredbom Komisije (EU) br. 1408/2013 od 18. prosinca 2013. o primjeni članaka 107. i 108. Ugovora o funkcioniranju Europske unije na potpore de </w:t>
      </w:r>
      <w:proofErr w:type="spellStart"/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minimis</w:t>
      </w:r>
      <w:proofErr w:type="spellEnd"/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poljoprivrednom sektoru (SL L 352, 24. 12. 2013.) i </w:t>
      </w:r>
      <w:hyperlink r:id="rId5" w:history="1">
        <w:r w:rsidRPr="00542E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 xml:space="preserve">Uredbom Komisije (EU) 2019/316 </w:t>
        </w:r>
        <w:proofErr w:type="spellStart"/>
        <w:r w:rsidRPr="00542E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оd</w:t>
        </w:r>
        <w:proofErr w:type="spellEnd"/>
        <w:r w:rsidRPr="00542E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 xml:space="preserve"> 21. veljače 2019. o izmjeni Uredbe (EU) br. 1408/2013 o primjeni članaka 107. i 108. Ugovora o funkcioniranju Europske unije na potpore </w:t>
        </w:r>
        <w:r w:rsidRPr="00542EBC">
          <w:rPr>
            <w:rFonts w:ascii="Times New Roman" w:eastAsia="Times New Roman" w:hAnsi="Times New Roman" w:cs="Times New Roman"/>
            <w:i/>
            <w:iCs/>
            <w:sz w:val="24"/>
            <w:szCs w:val="24"/>
            <w:shd w:val="clear" w:color="auto" w:fill="FFFFFF"/>
            <w:lang w:eastAsia="hr-HR"/>
          </w:rPr>
          <w:t xml:space="preserve">de </w:t>
        </w:r>
        <w:proofErr w:type="spellStart"/>
        <w:r w:rsidRPr="00542EBC">
          <w:rPr>
            <w:rFonts w:ascii="Times New Roman" w:eastAsia="Times New Roman" w:hAnsi="Times New Roman" w:cs="Times New Roman"/>
            <w:i/>
            <w:iCs/>
            <w:sz w:val="24"/>
            <w:szCs w:val="24"/>
            <w:shd w:val="clear" w:color="auto" w:fill="FFFFFF"/>
            <w:lang w:eastAsia="hr-HR"/>
          </w:rPr>
          <w:t>minimis</w:t>
        </w:r>
        <w:proofErr w:type="spellEnd"/>
        <w:r w:rsidRPr="00542E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 u poljoprivrednom sektoru (SL L 51, 22.2.2019.)</w:t>
        </w:r>
      </w:hyperlink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u daljnjem tekstu: Uredba Komisije (EU 2024/3118 od 10 prosinca 2024. o izmjeni Uredbe (EU) br. 1408/2013 o primjeni članka 107. i 108. Ugovora o funkcioniranju Europske unije na potpore de </w:t>
      </w:r>
      <w:proofErr w:type="spellStart"/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minimis</w:t>
      </w:r>
      <w:proofErr w:type="spellEnd"/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poljoprivrednom sektoru te Uredbe Komisije 2023/2831 od 13. prosinca 2023. o primjeni članka 107. i 108. Ugovora o funkcioniranju Europske unije na de </w:t>
      </w:r>
      <w:proofErr w:type="spellStart"/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minimis</w:t>
      </w:r>
      <w:proofErr w:type="spellEnd"/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potpore i Uredbom Komisije (EU) 2020/972 od 2. srpnja 2020. o izmjeni Uredbe (EU) br. 1407/2013 u pogledu njezina produljenja i o izmjeni Uredbe (EU) br. 651/2014 u pogledu njezina produljenja i odgovarajućih prilagodbi (SL L 215, 7.7.2020.) - u daljnjem tekstu: Uredba 1407/2013.</w:t>
      </w: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(1) Sukladno članku 1. Uredbe 2024/3118 i Uredbe o izmjeni Uredbe 2024/3118, ovaj se Program primjenjuje na potpore dodijeljene poduzetnicima koji se bave primarnom proizvodnjom poljoprivrednih proizvoda, uz iznimku:</w:t>
      </w:r>
    </w:p>
    <w:p w:rsidR="00542EBC" w:rsidRPr="00542EBC" w:rsidRDefault="00542EBC" w:rsidP="00542E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a) potpora čiji je iznos određen na temelju cijene ili količine proizvoda stavljenih na tržište,</w:t>
      </w:r>
    </w:p>
    <w:p w:rsidR="00542EBC" w:rsidRPr="00542EBC" w:rsidRDefault="00542EBC" w:rsidP="00542E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b) potpora djelatnostima vezanima uz izvoz, to jest potpora koje su izravno vezane uz izvezene količine, potpora za osnivanje i upravljanje distribucijskom mrežom ili za neke druge tekuće troškove vezane uz izvoznu djelatnost,</w:t>
      </w:r>
    </w:p>
    <w:p w:rsidR="00542EBC" w:rsidRPr="00542EBC" w:rsidRDefault="00542EBC" w:rsidP="00542E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c) potpora uvjetovanih korištenjem domaćih umjesto uvoznih proizvoda.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(2) Sukladno članku 2. Uredbe 2024/3118 „poljoprivredni proizvodi“ znači proizvodi iz Priloga I. Ugovora o funkcioniranju Europske unije, uz iznimku proizvoda ribarstva i akvakulture obuhvaćenih Uredbom Vijeća (EZ) br. 104/2000.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(3) Sukladno članku 2., točka 2. Uredbe 2024/3118 i Uredbe 2023/2831 pod pojmom „jedan poduzetnik“ obuhvaćena su sva poduzeća koja su u najmanje jednom od sljedećih međusobnih odnosa:</w:t>
      </w:r>
    </w:p>
    <w:p w:rsidR="00542EBC" w:rsidRPr="00542EBC" w:rsidRDefault="00542EBC" w:rsidP="00542E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(a) jedno poduzeće ima većinu glasačkih prava dioničara ili članova u drugom poduzeću;</w:t>
      </w:r>
    </w:p>
    <w:p w:rsidR="00542EBC" w:rsidRPr="00542EBC" w:rsidRDefault="00542EBC" w:rsidP="00542E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(b)jedno poduzeće ima pravo imenovati ili smijeniti većinu članova upravnog, upravljačkog ili nadzornog tijela drugog poduzeća;</w:t>
      </w:r>
    </w:p>
    <w:p w:rsidR="00542EBC" w:rsidRPr="00542EBC" w:rsidRDefault="00542EBC" w:rsidP="00542E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(c)jedno poduzeće ima pravo ostvarivati vladajući utjecaj na drugo poduzeće prema ugovoru sklopljenom s tim poduzećem ili prema odredbi statuta ili društvenog ugovora tog poduzeća;</w:t>
      </w:r>
    </w:p>
    <w:p w:rsidR="00542EBC" w:rsidRPr="00542EBC" w:rsidRDefault="00542EBC" w:rsidP="00542E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(d)jedno poduzeće, koje je dioničar ili član u drugom poduzeću, kontrolira samo, u skladu s dogovorom s drugim dioničarima ili članovima tog poduzeća, većinu glasačkih prava dioničara ili glasačkih prava članova u tom poduzeću.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Poduzeća koja su u bilo kojem od odnosa navedenih u prvom podstavku točkama (a) do (d) preko jednog ili više drugih poduzeća isto se tako smatraju jednim poduzetnikom.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Za potrebe Uredbe „proizvodni sektor” znači sektor naveden u Članku 1. stavku 2. točkama od (a) do (w) Uredbe (EU) br. 1308/2013 Europskog parlamenta i Vijeća. 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Za potrebe Uredbe „sektorska gornja vrijednost” znači najveći kumulativni iznos potpore koji se odnosi na mjere potpore koje pogoduju samo jednom proizvodnom sektoru, što odgovara udjelu od 50 % najvišeg iznosa potpora de </w:t>
      </w:r>
      <w:proofErr w:type="spellStart"/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minimis</w:t>
      </w:r>
      <w:proofErr w:type="spellEnd"/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se dodjeljuju po državi članici i koje su utvrđene u Prilogu II.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42EBC">
        <w:rPr>
          <w:rFonts w:ascii="Times New Roman" w:eastAsia="Calibri" w:hAnsi="Times New Roman" w:cs="Times New Roman"/>
          <w:sz w:val="24"/>
          <w:szCs w:val="24"/>
        </w:rPr>
        <w:t>(4) Sukladno članku 1. Uredbe 2023/2831 ovaj se Program</w:t>
      </w:r>
      <w:r w:rsidRPr="00542EBC">
        <w:rPr>
          <w:rFonts w:ascii="Calibri" w:eastAsia="Calibri" w:hAnsi="Calibri" w:cs="Times New Roman"/>
        </w:rPr>
        <w:t xml:space="preserve"> </w:t>
      </w: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primjenjuje na potpore koje se dodjeljuju poduzetnicima u svim</w:t>
      </w:r>
      <w:r w:rsidRPr="00542EB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sektorima, osim na:</w:t>
      </w:r>
    </w:p>
    <w:p w:rsidR="00542EBC" w:rsidRPr="00542EBC" w:rsidRDefault="00542EBC" w:rsidP="00542EB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BC">
        <w:rPr>
          <w:rFonts w:ascii="Times New Roman" w:eastAsia="Calibri" w:hAnsi="Times New Roman" w:cs="Times New Roman"/>
          <w:sz w:val="24"/>
          <w:szCs w:val="24"/>
        </w:rPr>
        <w:t>potpore koje se dodjeljuju poduzetnicima koji djeluju u sektorima ribarstva i</w:t>
      </w:r>
    </w:p>
    <w:p w:rsidR="00542EBC" w:rsidRPr="00542EBC" w:rsidRDefault="00542EBC" w:rsidP="00542EBC">
      <w:pPr>
        <w:spacing w:after="0" w:line="276" w:lineRule="auto"/>
        <w:ind w:left="3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BC">
        <w:rPr>
          <w:rFonts w:ascii="Times New Roman" w:eastAsia="Calibri" w:hAnsi="Times New Roman" w:cs="Times New Roman"/>
          <w:sz w:val="24"/>
          <w:szCs w:val="24"/>
        </w:rPr>
        <w:t xml:space="preserve">      akvakulture, kako je obuhvaćeno Uredbom (EZ) br.</w:t>
      </w:r>
      <w:r w:rsidRPr="00542EBC">
        <w:rPr>
          <w:rFonts w:ascii="Calibri" w:eastAsia="Calibri" w:hAnsi="Calibri" w:cs="Times New Roman"/>
          <w:sz w:val="27"/>
          <w:szCs w:val="27"/>
          <w:shd w:val="clear" w:color="auto" w:fill="FFFFFF"/>
        </w:rPr>
        <w:t xml:space="preserve"> </w:t>
      </w: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104/2000</w:t>
      </w:r>
    </w:p>
    <w:p w:rsidR="00542EBC" w:rsidRPr="00542EBC" w:rsidRDefault="00542EBC" w:rsidP="00542EB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potpore koje se dodjeljuju poduzetnicima koji djeluju u primarnoj proizvodnji poljoprivrednih proizvoda;</w:t>
      </w:r>
    </w:p>
    <w:p w:rsidR="00542EBC" w:rsidRPr="00542EBC" w:rsidRDefault="00542EBC" w:rsidP="00542EB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potpore koje se dodjeljuju poduzetnicima koji djeluju u sektoru prerade i stavljanja na tržište poljoprivrednih proizvoda, u sljedećim slučajevima:</w:t>
      </w:r>
      <w:r w:rsidRPr="00542EB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42EBC" w:rsidRPr="00542EBC" w:rsidRDefault="00542EBC" w:rsidP="00542EBC">
      <w:pPr>
        <w:spacing w:after="0" w:line="276" w:lineRule="auto"/>
        <w:ind w:left="30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42EBC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ako je iznos potpore fiksno utvrđen na temelju cijene ili količine takvih proizvoda </w:t>
      </w:r>
    </w:p>
    <w:p w:rsidR="00542EBC" w:rsidRPr="00542EBC" w:rsidRDefault="00542EBC" w:rsidP="00542EBC">
      <w:pPr>
        <w:spacing w:after="0" w:line="276" w:lineRule="auto"/>
        <w:ind w:left="3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BC">
        <w:rPr>
          <w:rFonts w:ascii="Times New Roman" w:eastAsia="Calibri" w:hAnsi="Times New Roman" w:cs="Times New Roman"/>
          <w:shd w:val="clear" w:color="auto" w:fill="FFFFFF"/>
        </w:rPr>
        <w:t xml:space="preserve">       kupljenih od primarnih proizvođača odnosno koje na tržište stavljaju poduzetnici u pitanju, </w:t>
      </w:r>
      <w:r w:rsidRPr="00542EBC">
        <w:rPr>
          <w:rFonts w:ascii="Times New Roman" w:eastAsia="Calibri" w:hAnsi="Times New Roman" w:cs="Times New Roman"/>
          <w:sz w:val="27"/>
          <w:szCs w:val="27"/>
        </w:rPr>
        <w:br/>
        <w:t xml:space="preserve">     </w:t>
      </w:r>
      <w:r w:rsidRPr="00542EBC">
        <w:rPr>
          <w:rFonts w:ascii="Times New Roman" w:eastAsia="Calibri" w:hAnsi="Times New Roman" w:cs="Times New Roman"/>
          <w:sz w:val="24"/>
          <w:szCs w:val="24"/>
        </w:rPr>
        <w:t>ako su potpore uvjetovane njihovim djelomičnim ili potpunim prenošenjem na</w:t>
      </w:r>
    </w:p>
    <w:p w:rsidR="00542EBC" w:rsidRPr="00542EBC" w:rsidRDefault="00542EBC" w:rsidP="00542EBC">
      <w:pPr>
        <w:spacing w:after="0" w:line="276" w:lineRule="auto"/>
        <w:ind w:left="3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BC">
        <w:rPr>
          <w:rFonts w:ascii="Times New Roman" w:eastAsia="Calibri" w:hAnsi="Times New Roman" w:cs="Times New Roman"/>
          <w:shd w:val="clear" w:color="auto" w:fill="FFFFFF"/>
        </w:rPr>
        <w:t xml:space="preserve">      </w:t>
      </w:r>
      <w:r w:rsidRPr="00542EBC">
        <w:rPr>
          <w:rFonts w:ascii="Times New Roman" w:eastAsia="Calibri" w:hAnsi="Times New Roman" w:cs="Times New Roman"/>
          <w:sz w:val="24"/>
          <w:szCs w:val="24"/>
        </w:rPr>
        <w:t>primarne proizvođače;</w:t>
      </w:r>
    </w:p>
    <w:p w:rsidR="00542EBC" w:rsidRPr="00542EBC" w:rsidRDefault="00542EBC" w:rsidP="00542EB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potpore za djelatnosti usmjerene izvozu u treće zemlje ili države članice, odnosno</w:t>
      </w:r>
    </w:p>
    <w:p w:rsidR="00542EBC" w:rsidRPr="00542EBC" w:rsidRDefault="00542EBC" w:rsidP="00542EBC">
      <w:pPr>
        <w:spacing w:after="0" w:line="276" w:lineRule="auto"/>
        <w:ind w:left="30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potpore koje su izravno povezane s izvezenim količinama, s uspostavom i</w:t>
      </w:r>
    </w:p>
    <w:p w:rsidR="00542EBC" w:rsidRPr="00542EBC" w:rsidRDefault="00542EBC" w:rsidP="00542EBC">
      <w:pPr>
        <w:spacing w:after="0" w:line="276" w:lineRule="auto"/>
        <w:ind w:left="30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funkcioniranjem distribucijske mreže ili s drugim tekućim troškovima povezanima s </w:t>
      </w:r>
    </w:p>
    <w:p w:rsidR="00542EBC" w:rsidRPr="00542EBC" w:rsidRDefault="00542EBC" w:rsidP="00542EBC">
      <w:pPr>
        <w:spacing w:after="0" w:line="276" w:lineRule="auto"/>
        <w:ind w:left="30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izvoznom djelatnošću;</w:t>
      </w:r>
    </w:p>
    <w:p w:rsidR="00542EBC" w:rsidRPr="00542EBC" w:rsidRDefault="00542EBC" w:rsidP="00542EB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BC">
        <w:rPr>
          <w:rFonts w:ascii="Times New Roman" w:eastAsia="Calibri" w:hAnsi="Times New Roman" w:cs="Times New Roman"/>
          <w:sz w:val="24"/>
          <w:szCs w:val="24"/>
        </w:rPr>
        <w:t>potpore koje se uvjetuju uporabom domaćih proizvoda umjesto uvezenih.</w:t>
      </w:r>
    </w:p>
    <w:p w:rsidR="00542EBC" w:rsidRPr="00542EBC" w:rsidRDefault="00542EBC" w:rsidP="00542EBC">
      <w:pPr>
        <w:spacing w:after="0" w:line="276" w:lineRule="auto"/>
        <w:ind w:left="3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2EBC" w:rsidRPr="00542EBC" w:rsidRDefault="00542EBC" w:rsidP="00542E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(5)  Ako poduzetnik djeluje u sektorima navedenima u stavku 1. točkama (a), (b) ili (c) i      djeluje u jednom ili više sektora ili ima druge djelatnosti koje su obuhvaćene područjem   primjene ove Uredbe, ova se Uredba primjenjuje na potpore dodijeljene u vezi s tim  drugim sektorima ili djelatnostima, uz uvjet da dotična država članica osigura, na primjeren način, na primjer razdvajanjem djelatnosti ili troškova, da djelatnosti u sektorima koji su isključeni iz područja primjene ove Uredbe ne ostvaruje u korist od </w:t>
      </w:r>
      <w:r w:rsidRPr="00542EBC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de </w:t>
      </w:r>
      <w:proofErr w:type="spellStart"/>
      <w:r w:rsidRPr="00542EBC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minimis</w:t>
      </w:r>
      <w:proofErr w:type="spellEnd"/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potpore dodijeljene na temelju ove Uredbe.</w:t>
      </w:r>
    </w:p>
    <w:p w:rsidR="00542EBC" w:rsidRPr="00542EBC" w:rsidRDefault="00542EBC" w:rsidP="00542EBC">
      <w:pPr>
        <w:spacing w:after="0" w:line="276" w:lineRule="auto"/>
        <w:ind w:left="30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542EBC" w:rsidRPr="00542EBC" w:rsidRDefault="00542EBC" w:rsidP="00542E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(6)   Za potrebe Uredbe primjenjuju se sljedeće definicije:</w:t>
      </w:r>
    </w:p>
    <w:p w:rsidR="00542EBC" w:rsidRPr="00542EBC" w:rsidRDefault="00542EBC" w:rsidP="00542EBC">
      <w:pPr>
        <w:spacing w:after="0" w:line="276" w:lineRule="auto"/>
        <w:ind w:left="30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42EBC">
        <w:rPr>
          <w:rFonts w:ascii="Times New Roman" w:eastAsia="Calibri" w:hAnsi="Times New Roman" w:cs="Times New Roman"/>
          <w:sz w:val="24"/>
          <w:szCs w:val="24"/>
        </w:rPr>
        <w:t xml:space="preserve">  a)  </w:t>
      </w: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„poljoprivredni proizvodi” znači proizvodi koji su navedeni u Prilogu I. Ugovoru, </w:t>
      </w:r>
    </w:p>
    <w:p w:rsidR="00542EBC" w:rsidRPr="00542EBC" w:rsidRDefault="00542EBC" w:rsidP="00542EBC">
      <w:pPr>
        <w:spacing w:after="0" w:line="276" w:lineRule="auto"/>
        <w:ind w:left="30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42EBC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osim proizvoda ribarstva i akvakulture obuhvaćenih Uredbom Vijeća (EZ) br. </w:t>
      </w:r>
    </w:p>
    <w:p w:rsidR="00542EBC" w:rsidRPr="00542EBC" w:rsidRDefault="00542EBC" w:rsidP="00542EBC">
      <w:pPr>
        <w:spacing w:after="0" w:line="276" w:lineRule="auto"/>
        <w:ind w:left="30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104/2000;</w:t>
      </w:r>
    </w:p>
    <w:p w:rsidR="00542EBC" w:rsidRPr="00542EBC" w:rsidRDefault="00542EBC" w:rsidP="00542E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42EBC">
        <w:rPr>
          <w:rFonts w:ascii="Times New Roman" w:eastAsia="Calibri" w:hAnsi="Times New Roman" w:cs="Times New Roman"/>
          <w:i/>
          <w:sz w:val="24"/>
          <w:szCs w:val="24"/>
        </w:rPr>
        <w:t xml:space="preserve">       </w:t>
      </w:r>
      <w:r w:rsidRPr="00542EBC">
        <w:rPr>
          <w:rFonts w:ascii="Times New Roman" w:eastAsia="Calibri" w:hAnsi="Times New Roman" w:cs="Times New Roman"/>
          <w:sz w:val="24"/>
          <w:szCs w:val="24"/>
        </w:rPr>
        <w:t xml:space="preserve">b)  </w:t>
      </w: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„prerada poljoprivrednih proizvoda” znači svi postupci prerade poljoprivrednog</w:t>
      </w:r>
    </w:p>
    <w:p w:rsidR="00542EBC" w:rsidRPr="00542EBC" w:rsidRDefault="00542EBC" w:rsidP="00542E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proizvoda koji za ishod imaju proizvod koji je također poljoprivredni proizvod, osim</w:t>
      </w:r>
    </w:p>
    <w:p w:rsidR="00542EBC" w:rsidRPr="00542EBC" w:rsidRDefault="00542EBC" w:rsidP="00542E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u poljoprivrednim djelatnostima potrebnima za pripremu životinjskog ili biljnog</w:t>
      </w:r>
    </w:p>
    <w:p w:rsidR="00542EBC" w:rsidRPr="00542EBC" w:rsidRDefault="00542EBC" w:rsidP="00542E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proizvoda za prvu prodaju;</w:t>
      </w:r>
    </w:p>
    <w:p w:rsidR="00542EBC" w:rsidRPr="00542EBC" w:rsidRDefault="00542EBC" w:rsidP="00542E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c)  „stavljanje na tržište poljoprivrednih proizvoda” znači držanje ili izlaganje s ciljem</w:t>
      </w:r>
    </w:p>
    <w:p w:rsidR="00542EBC" w:rsidRPr="00542EBC" w:rsidRDefault="00542EBC" w:rsidP="00542E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prodaje, ponuda za prodaju, isporuka ili bilo koji drugi način stavljanja na tržište,</w:t>
      </w:r>
    </w:p>
    <w:p w:rsidR="00542EBC" w:rsidRPr="00542EBC" w:rsidRDefault="00542EBC" w:rsidP="00542E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osim prve prodaje primarnog proizvođača preprodavačima ili prerađivačima te svih</w:t>
      </w:r>
    </w:p>
    <w:p w:rsidR="00542EBC" w:rsidRPr="00542EBC" w:rsidRDefault="00542EBC" w:rsidP="00542E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aktivnosti kojima se proizvod priprema za takvu prvu prodaju; prodaja primarnog</w:t>
      </w:r>
    </w:p>
    <w:p w:rsidR="00542EBC" w:rsidRPr="00542EBC" w:rsidRDefault="00542EBC" w:rsidP="00542E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proizvođača krajnjim potrošačima smatra se stavljanjem na tržište ako se odvija u</w:t>
      </w:r>
    </w:p>
    <w:p w:rsidR="00542EBC" w:rsidRPr="00542EBC" w:rsidRDefault="00542EBC" w:rsidP="00542EB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posebnim prostorima namijenjenima za tu svrhu.    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II. PLANIRANA SREDSTVA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(1) Za provedbu ovog programa planirana su sredstva u visini od 30.000,00 eura u Proračunu Grada Raba za 2026. godinu,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(2) Grad Rab će u 2026.g. dodjeljivati potpore za slijedeće aktivnosti: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Uredbi 2024/3118</w:t>
      </w:r>
    </w:p>
    <w:p w:rsidR="00542EBC" w:rsidRPr="00542EBC" w:rsidRDefault="00542EBC" w:rsidP="00542E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Mjera 1.   Sufinanciranje nabave sadnog materijala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Uredbi 2024/3118 i Uredbi 2023/2831</w:t>
      </w:r>
    </w:p>
    <w:p w:rsidR="00542EBC" w:rsidRPr="00542EBC" w:rsidRDefault="00542EBC" w:rsidP="00542E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Mjera 2.   Sufinanciranje izrade dokumentacije objekata namijenjenih poljoprivrednoj</w:t>
      </w:r>
    </w:p>
    <w:p w:rsidR="00542EBC" w:rsidRPr="00542EBC" w:rsidRDefault="00542EBC" w:rsidP="00542E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proizvodnji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Uredbi 2023/2831</w:t>
      </w:r>
    </w:p>
    <w:p w:rsidR="00542EBC" w:rsidRPr="00542EBC" w:rsidRDefault="00542EBC" w:rsidP="00542E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Mjera 3.   Sufinanciranje dijela troškova aktivnosti poljoprivrednih udruga i zadruga</w:t>
      </w:r>
    </w:p>
    <w:p w:rsidR="00542EBC" w:rsidRPr="00542EBC" w:rsidRDefault="00542EBC" w:rsidP="00542E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Mjera 4.   Sufinanciranje manifestacija koje doprinose promicanju poljoprivredne</w:t>
      </w:r>
    </w:p>
    <w:p w:rsidR="00542EBC" w:rsidRPr="00542EBC" w:rsidRDefault="00542EBC" w:rsidP="00542E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proizvodnje</w:t>
      </w:r>
    </w:p>
    <w:p w:rsidR="00542EBC" w:rsidRPr="00542EBC" w:rsidRDefault="00542EBC" w:rsidP="00542E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Mjera 5.   Potpora za ostale mjere ruralnog razvoja</w:t>
      </w:r>
    </w:p>
    <w:p w:rsidR="00542EBC" w:rsidRPr="00542EBC" w:rsidRDefault="00542EBC" w:rsidP="00542E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Mjera 6.   Sufinanciranje prerade maslina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Uredbi 2024/3118 i Uredbi 2023/2831</w:t>
      </w:r>
    </w:p>
    <w:p w:rsidR="00542EBC" w:rsidRPr="00542EBC" w:rsidRDefault="00542EBC" w:rsidP="00542EB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7.   Sufinanciranje nabave poljoprivredne opreme odnosno ulaganja u </w:t>
      </w:r>
    </w:p>
    <w:p w:rsidR="00542EBC" w:rsidRPr="00542EBC" w:rsidRDefault="00542EBC" w:rsidP="00542EB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modernizaciju postojećih pogona, uvođenje novih tehnologija i ulaganja u  </w:t>
      </w:r>
    </w:p>
    <w:p w:rsidR="00542EBC" w:rsidRPr="00542EBC" w:rsidRDefault="00542EBC" w:rsidP="00542EB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prerađivačke kapacitete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III. POTPORE I AKTIVNOSTI – KRITERIJI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Iznosi potpore za Mjeru 1. sukladno Odredbi 2024/3118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Mjera 1. Sufinanciranje nabave sadnog materijala</w:t>
      </w: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(1) Radi postizanja novih trajnih nasada te obnove postojećih, odobriti će se potpora za  nabavu deklariranog sadnog materijala.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(2) Visina potpore po sadnici iznosi: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- za cjepove vinove loze do 1/2 nabavne cijene sadnice, a maksimalno 1,33 eura po sadnici. Minimalna poticajna količina iznosi 200 komada sadnica,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- za sadnice masline do 1/2 nabavne cijene sadnice, a maksimalno 3,98 eura odnosno po sadnici. Minimalna poticajna količina iznosi 20 komada sadnica,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- za sadnice voćki do 1/2 nabavne cijene sadnice, a maksimalno 3.32 eura po pojedinoj voćnoj sadnici. Minimalna poticana količina iznosi 20 komada po pojedinoj voćnoj sadnici.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(3) Uz zahtjev za dodjelu potpora potrebno je dostaviti račun o kupnji sadnica iz kojeg je vidljivo: vrsta, sorta, broj komada, jedinična i ukupna cijena, datum i dobavljač.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(4) Sufinanciranje nabave sadnog materijala po korisniku može iznositi najviše 265,00 eura  godišnje.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(5) Ukupni iznos za sufinanciranje nabave sadnog materijala u 2026.g. je 1.061,00 eura.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Iznosi potpore za Mjeru 2. sukladno Odredbi 2024/3118 i Odredbi 2023/2831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Mjera 2. Sufinanciranje izrade dokumentacije gospodarskih objekata namijenjenih  smještaju stoke te skladištenju i preradi poljoprivrednog proizvoda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(1) Za izradu dokumentacije gospodarskih objekata namijenjenih smještaju stoke te skladištenju i preradi poljoprivrednih proizvoda odobriti će se u iznosu do 20 % dokumentiranih troškova, najviše u iznos do 265,00 eura po korisniku.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(2) Ukupni iznos za potpore za izradu dokumentacije gospodarskih objekata namijenjenih smještaju stoke te skladištenju i preradi poljoprivrednog proizvoda u 2026.g. je 265,00 eura.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Iznosi potpore za Mjere 3., 4., 5. i 6. sukladno Odredbi 2023/2831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Mjera 3. Sufinanciranje dijela troškova aktivnosti poljoprivrednih udruga i zadruga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(1) Odobrit će se sufinanciranje dijela troškova aktivnosti poljoprivrednih udruga i zadruga koje se odnose na organizaciju izložbi i sajmova, stručnih predavanja, odlaska na poljoprivredne sajmove i slično. Ova sredstva se ostvaruju temeljem podnijetog zahtjeva korisnika. Uz zahtjev se obavezno prilaže godišnji program rada udruge ili zadruge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(2) Ukupni iznos za sufinanciranje dijela troškova aktivnosti poljoprivrednih udruga i zadruga u 2026.g. je 1.990,00 eura.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Mjera 4. Sufinanciranje manifestacija koje doprinose promicanju poljoprivredne proizvodnje</w:t>
      </w: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9.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(1) Odobriti će se sufinanciranje organizatoru manifestacije za pokriće dijela troškova manifestacije koje doprinose promicanju poljoprivredne proizvodnje i ruralnog razvoja (npr. izložba Rapske ovce, Dani maslina i slično).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(2) Sredstva se isplaćuju na temelju zahtjeva organizatora manifestacije. Odluku o sufinanciranju odnosno pokroviteljstvu manifestacije i visini potpore donosi Gradonačelnik na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Upravnog odjela ureda Grada, investicija i razvoja, Odsjeka za investicije i razvoj.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(3) Ukupni iznos za potpore za sufinanciranje dijela troškova manifestacije koje doprinose promicanju poljoprivredne proizvodnje i ruralnog razvoja u 2026.g. je 663,00 eura.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Mjera 5. Potpore za ostale mjere ruralnog razvoja</w:t>
      </w: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10.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(1) Potpore će se isplaćivati po zahtjevu korisnika za aktivnosti koje pridonose razvoju poljoprivrede i ruralnog prostora (kao npr. nastup na specijaliziranoj manifestaciji namijenjenoj predstavljanju i ocjenjivanju poljoprivrednih proizvoda i proizvođača i slično), a nisu obuhvaćene nekom od potpora iz ovog programa.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(2) Potpora se može dodijeliti korisniku za nastup na specijaliziranoj manifestaciji isključivo za:</w:t>
      </w:r>
    </w:p>
    <w:p w:rsidR="00542EBC" w:rsidRPr="00542EBC" w:rsidRDefault="00542EBC" w:rsidP="00542E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- zakup, uređenje i opremanje izložbenog prostora,</w:t>
      </w:r>
    </w:p>
    <w:p w:rsidR="00542EBC" w:rsidRPr="00542EBC" w:rsidRDefault="00542EBC" w:rsidP="00542EB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- trošak izrade promidžbenih materijala koji se koriste na manifestaciji.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(3) Potpora može iznositi do 50% prihvatljivih troškova, a najviše 132,00 eura po korisniku. Pojedinom korisniku može se odobriti najviše dvije potpore za ove namjene u kalendarskoj godini.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(4) Ukupni iznos za ostale mjere ruralnog razvoja u 2026.g. je 269,00 eura.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Mjera 6. Sufinanciranje prerade maslina</w:t>
      </w: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11.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(1) Odobrit će se sufinanciranje dijela troškova prerade maslina korisnicima koji putem analize kvalitete maslinovog ulja dokažu da je ulje ekstra djevičanske kvalitete.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(2) Sufinancirati će se iznos od 20 centi po kilogramu masline. Ukupni iznos za sufinanciranje prerade maslina u 2026.g. je 5.752,00 eura.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Iznos potpore za Mjeru 7. sukladno Odredbi 2024/3118 i Odredbi 2023/2831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Mjera 7. Sufinanciranje nabave poljoprivredne opreme odnosno ulaganja u modernizaciju postojećih pogona, uvođenje novih tehnologija i ulaganja u prerađivačke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kapacitete.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12.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(1) Odobrit će se sufinanciranje dijela troškova nabave poljoprivredne opreme ili pojedinih dijelova opreme namijenjenih preradi odnosno ulaganja u modernizaciju postojećih pogona,  uvođenje novih tehnologija i ulaganja u prerađivačke kapacitete i slično.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(2) Sufinancirati će se iznos do 50% od ukupne vrijednosti odnosno do 1.990,00 eura po korisniku. Ukupni iznos za sufinanciranje u 2026.g. je 20.000,00 eura.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IV. POTREBNA DOKUMENTACIJA I POSTUPAK DODJELE POTPORE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13.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(1) Nepovratne novčane potpore – gradske subvencije koje su predmet ovog Programa dodjeljuju se na temelju provedenog postupka i kriterija propisanih ovim Programom.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(2) Zahtjevi za potpore dostavljaju se na posebnom obrascu zahtjeva uz pripadajuću dokumentaciju  najdulje do 2. prosinca 2026. godine, a rješavaju se redom zaprimanja i do iskorištenja sredstava prema namjenama i visini iz članka 2. ovog Programa.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(3) Pojedinom korisniku može se na temelju ovog Programa odobriti više vrsta potpora u istoj kalendarskoj godini. Najviši ukupni godišnji iznos svih potpora koju jedan korisnik može ostvariti u tekućoj godini iznosi 3.981,00 eura.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Sukladno članku 3. Uredbe de </w:t>
      </w:r>
      <w:proofErr w:type="spellStart"/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minimis</w:t>
      </w:r>
      <w:proofErr w:type="spellEnd"/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ukupan iznos potpora de </w:t>
      </w:r>
      <w:proofErr w:type="spellStart"/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minimis</w:t>
      </w:r>
      <w:proofErr w:type="spellEnd"/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se po državi članici dodjeljuju jednom poduzetniku ne smije premašiti 50.000,00 EUR-a tijekom bilo kojeg razdoblja od tri godine te se ta gornja granica primjenjuje bez obzira na oblik ili svrhu potpore. Sukladno članku 3. Uredbe 2023/2831 ukupan iznos potpora male vrijednosti koji je dodijeljen jednom poduzetniku ne smije prijeći iznos od 300.000,00 EUR-a  tijekom razdoblja od tri godine te se ta gornja granica primjenjuje bez obzira na oblik ili svrhu potpore. Sukladno članku 6. Uredbe 2023/2831 i Uredbe 2024/3118, podnositelj zahtjeva mora svom zahtjevu priložiti izjavu o iznosima dodijeljenih potpora male vrijednosti u sektoru poljoprivrede iz drugih izvora.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Davatelj potpore male vrijednosti dužan je korisniku potpore dostaviti obavijest da mu je dodijeljena potpora male vrijednosti sukladno Uredbi 2024/3118 i Uredbi 2023/2831.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14.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(1) Nepovratne potpore dodjeljuju se na temelju javnog poziva koji raspisuje Gradonačelnik,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a objavljuju se na web stranici Grada Raba i na oglasnoj ploči.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(2) Javni poziv sadrži: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1. naziv tijela koje objavljuje javni poziv,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2. predmet javnog poziva,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3. opće uvjete i kriterije za dodjelu potpore,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4. popis potrebne dokumentacije,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5. naziv i adresu tijela kojem se podnose zahtjevi,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6. vrijeme trajanja javnog poziva,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7. podatke o informacijama.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15.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(1) Nakon stupanja na snagu ovog Programa, Gradonačelnik objavljuje javni poziv sa uvjetima davanja potpora. Ugovori o dodjeli potpora mogu se zaključivati do iskorištenja sredstava za ovu namjenu u Proračunu Grada Raba.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(2) Upravni odjel za prostorno uređenje, gospodarstvo i turizam nakon provjere dostavljene dokumentacije, daje prijedlog Gradonačelniku koji donosi zaključak o dodjeli nepovratne potpore u kojem se navodi iznos i namjena potpore.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(3) Dostavljanjem dokumentacije na javni poziv i donošenjem zaključka o dodjeli nepovratne potpore, korisnik sredstva daje odobrenje Gradu Rabu da osnovne podatke o korisniku i odobrenoj potpori objavi na službenoj Internet stranici Grada Raba te u drugim izvještajima.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(4) Prihvatljivi su troškovi nastali nakon 1. siječnja 2026. godine. Trošak poreza na dodanu vrijednost nije prihvatljiv trošak kod odobrenja potpore za obveznike koji nisu u sustavu PDV-a na dan donošenja Zaključka o dodjeli nepovratne potpore.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(5) Pravo na potporu ne može ostvariti pravna ili fizička osoba za koju Upravni odjel ureda Grada investicija i razvoja u postupku obrade podnesenog zahtjeva utvrdi da on ili članovi kućanstva s prebivalištem na istoj adresi imaju dugovanja prema Gradu Rabu i/ili društvima u kojima Grad Rab ima vlasničke udjele te prema gradskim ustanovama i Turističkoj zajednici Grada Raba.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(6) U slučaju većeg interesa poduzetnika za dodjelu potpora u okviru određenih mjera, Gradonačelnik će omogućiti dodjelu potpora u većem ukupnom iznosu po pojedinoj mjeri, uz istovremeno smanjenje drugih mjera za koje postoji manji interes, a sve u skladu sa ukupnim</w:t>
      </w: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planiranim proračunskim sredstvima za poticanje poljoprivrede u tekućoj godini.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V KONTROLA I POVRAT SREDSTAVA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16.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potpore je dužan omogućiti davatelju potpore kontrolu namjenskog utroška dobivene potpore. Ukoliko je korisnik gradske potpore odnosno podnositelj zahtjeva priložio neistinitu dokumentaciju ili prijavljeno stanje u zahtjevu i dokumentaciji ne odgovara njegovom stvarnom stanju podnositelj zahtjeva sredstva za tu godinu mora vratiti u Proračun Grada Raba.</w:t>
      </w:r>
    </w:p>
    <w:p w:rsidR="00542EBC" w:rsidRPr="00542EBC" w:rsidRDefault="00542EBC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17.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Program stupa na snagu dan nakon objave, a objaviti će se u službenim „Službenim novinama Primorsko – goranske županije“.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023-01/26-01/31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2170-13/01-26-1-1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Rab, 25. veljače </w:t>
      </w: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2026. godine</w:t>
      </w:r>
    </w:p>
    <w:p w:rsidR="00542EBC" w:rsidRPr="00542EBC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Default="00542EBC" w:rsidP="00542EB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</w:t>
      </w:r>
    </w:p>
    <w:p w:rsidR="00542EBC" w:rsidRDefault="00542EBC" w:rsidP="00542EB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2EBC" w:rsidRPr="00542EBC" w:rsidRDefault="00542EBC" w:rsidP="00542EBC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eastAsia="hr-HR"/>
        </w:rPr>
        <w:t>Nikola Grgurić, dipl.oec.</w:t>
      </w:r>
    </w:p>
    <w:p w:rsidR="00542EBC" w:rsidRDefault="00542EBC" w:rsidP="00542EBC">
      <w:pPr>
        <w:rPr>
          <w:rFonts w:ascii="Times New Roman" w:hAnsi="Times New Roman" w:cs="Times New Roman"/>
          <w:sz w:val="24"/>
          <w:szCs w:val="24"/>
        </w:rPr>
      </w:pPr>
    </w:p>
    <w:p w:rsidR="0015498D" w:rsidRDefault="0015498D" w:rsidP="00542EBC">
      <w:pPr>
        <w:rPr>
          <w:rFonts w:ascii="Times New Roman" w:hAnsi="Times New Roman" w:cs="Times New Roman"/>
          <w:sz w:val="24"/>
          <w:szCs w:val="24"/>
        </w:rPr>
      </w:pPr>
    </w:p>
    <w:p w:rsidR="0015498D" w:rsidRDefault="0015498D" w:rsidP="00542EBC">
      <w:pPr>
        <w:rPr>
          <w:rFonts w:ascii="Times New Roman" w:hAnsi="Times New Roman" w:cs="Times New Roman"/>
          <w:sz w:val="24"/>
          <w:szCs w:val="24"/>
        </w:rPr>
      </w:pPr>
    </w:p>
    <w:p w:rsidR="0015498D" w:rsidRDefault="0015498D" w:rsidP="00542EBC">
      <w:pPr>
        <w:rPr>
          <w:rFonts w:ascii="Times New Roman" w:hAnsi="Times New Roman" w:cs="Times New Roman"/>
          <w:sz w:val="24"/>
          <w:szCs w:val="24"/>
        </w:rPr>
      </w:pPr>
    </w:p>
    <w:p w:rsidR="0015498D" w:rsidRPr="00542EBC" w:rsidRDefault="0015498D" w:rsidP="0015498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42EB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542EB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Statuta Grada Raba („Službene novine PGŽ“ br. 4/21),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gradonačelnik Grada Raba dana 25</w:t>
      </w:r>
      <w:r w:rsidRPr="00542EB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15498D" w:rsidRDefault="0015498D" w:rsidP="001549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15498D" w:rsidRPr="00542EBC" w:rsidRDefault="0015498D" w:rsidP="001549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bookmarkStart w:id="0" w:name="_GoBack"/>
      <w:bookmarkEnd w:id="0"/>
    </w:p>
    <w:p w:rsidR="0015498D" w:rsidRPr="00542EBC" w:rsidRDefault="0015498D" w:rsidP="001549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15498D" w:rsidRPr="00542EBC" w:rsidRDefault="0015498D" w:rsidP="001549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15498D" w:rsidRPr="00542EBC" w:rsidRDefault="0015498D" w:rsidP="001549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98D" w:rsidRDefault="0015498D" w:rsidP="001549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Prihvaća se prijedlog Izvješća Povjerenstva za popis imovine, obveza i potraživanja Grada Raba.</w:t>
      </w:r>
    </w:p>
    <w:p w:rsidR="0015498D" w:rsidRDefault="0015498D" w:rsidP="001549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Zaključak se dostavlja Upravnom odjelu za financije i Povjerenstvu za popis imovine na provedbu.</w:t>
      </w:r>
    </w:p>
    <w:p w:rsidR="0015498D" w:rsidRDefault="0015498D" w:rsidP="0015498D">
      <w:pPr>
        <w:rPr>
          <w:rFonts w:ascii="Times New Roman" w:hAnsi="Times New Roman" w:cs="Times New Roman"/>
          <w:sz w:val="24"/>
          <w:szCs w:val="24"/>
        </w:rPr>
      </w:pPr>
    </w:p>
    <w:p w:rsidR="0015498D" w:rsidRPr="00542EBC" w:rsidRDefault="0015498D" w:rsidP="0015498D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98D" w:rsidRPr="00542EBC" w:rsidRDefault="0015498D" w:rsidP="001549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15498D" w:rsidRPr="00542EBC" w:rsidRDefault="0015498D" w:rsidP="001549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5498D" w:rsidRPr="00542EBC" w:rsidRDefault="0015498D" w:rsidP="001549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15498D" w:rsidRPr="00542EBC" w:rsidRDefault="0015498D" w:rsidP="001549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15498D" w:rsidRPr="00542EBC" w:rsidRDefault="0015498D" w:rsidP="001549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5498D" w:rsidRPr="00542EBC" w:rsidRDefault="0015498D" w:rsidP="001549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5498D" w:rsidRPr="00542EBC" w:rsidRDefault="0015498D" w:rsidP="001549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023-01/26-01/31</w:t>
      </w:r>
    </w:p>
    <w:p w:rsidR="0015498D" w:rsidRPr="00542EBC" w:rsidRDefault="0015498D" w:rsidP="001549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2EB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2170-13/01-26-2</w:t>
      </w:r>
    </w:p>
    <w:p w:rsidR="0015498D" w:rsidRPr="00542EBC" w:rsidRDefault="0015498D" w:rsidP="001549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25</w:t>
      </w:r>
      <w:r w:rsidRPr="00542E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15498D" w:rsidRPr="00542EBC" w:rsidRDefault="0015498D" w:rsidP="00542EBC">
      <w:pPr>
        <w:rPr>
          <w:rFonts w:ascii="Times New Roman" w:hAnsi="Times New Roman" w:cs="Times New Roman"/>
          <w:sz w:val="24"/>
          <w:szCs w:val="24"/>
        </w:rPr>
      </w:pPr>
    </w:p>
    <w:sectPr w:rsidR="0015498D" w:rsidRPr="00542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73E1"/>
    <w:multiLevelType w:val="hybridMultilevel"/>
    <w:tmpl w:val="1674AED2"/>
    <w:lvl w:ilvl="0" w:tplc="51A82EC2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8F"/>
    <w:rsid w:val="0015498D"/>
    <w:rsid w:val="00542EBC"/>
    <w:rsid w:val="008F368F"/>
    <w:rsid w:val="00A2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17C7"/>
  <w15:chartTrackingRefBased/>
  <w15:docId w15:val="{6C9AA147-4BCB-4AAB-B084-A92BF181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2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HR/TXT/PDF/?uri=CELEX:32019R03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3083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3</cp:revision>
  <cp:lastPrinted>2026-02-25T07:04:00Z</cp:lastPrinted>
  <dcterms:created xsi:type="dcterms:W3CDTF">2026-02-25T06:34:00Z</dcterms:created>
  <dcterms:modified xsi:type="dcterms:W3CDTF">2026-02-25T07:04:00Z</dcterms:modified>
</cp:coreProperties>
</file>